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6CCA" w:rsidRPr="00FE5197" w:rsidRDefault="00D578A1">
      <w:pPr>
        <w:pStyle w:val="normal0"/>
        <w:spacing w:line="240" w:lineRule="auto"/>
        <w:rPr>
          <w:color w:val="auto"/>
        </w:rPr>
      </w:pPr>
      <w:r w:rsidRPr="00D578A1">
        <w:rPr>
          <w:b/>
          <w:noProof/>
          <w:color w:val="auto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3.1pt;margin-top:247.1pt;width:186.35pt;height:22.5pt;z-index:251659264;mso-width-percent:400;mso-height-percent:200;mso-width-percent:400;mso-height-percent:200;mso-width-relative:margin;mso-height-relative:margin" filled="f">
            <v:textbox style="mso-fit-shape-to-text:t">
              <w:txbxContent>
                <w:p w:rsidR="0070191E" w:rsidRDefault="0070191E" w:rsidP="0070191E">
                  <w:pPr>
                    <w:rPr>
                      <w:color w:val="auto"/>
                    </w:rPr>
                  </w:pPr>
                  <w:r w:rsidRPr="005B170F">
                    <w:rPr>
                      <w:color w:val="auto"/>
                    </w:rPr>
                    <w:t>Negative Latitude numbers</w:t>
                  </w:r>
                  <w:r>
                    <w:rPr>
                      <w:color w:val="auto"/>
                    </w:rPr>
                    <w:t xml:space="preserve"> indicate South of Equator</w:t>
                  </w:r>
                </w:p>
                <w:p w:rsidR="0070191E" w:rsidRDefault="0070191E" w:rsidP="0070191E">
                  <w:pPr>
                    <w:rPr>
                      <w:color w:val="auto"/>
                    </w:rPr>
                  </w:pPr>
                </w:p>
                <w:p w:rsidR="0070191E" w:rsidRDefault="0070191E" w:rsidP="0070191E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Negative Longitude numbers indicate West of Prime Meridian</w:t>
                  </w:r>
                </w:p>
                <w:p w:rsidR="0070191E" w:rsidRPr="005B170F" w:rsidRDefault="0070191E" w:rsidP="0070191E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(England)</w:t>
                  </w:r>
                </w:p>
              </w:txbxContent>
            </v:textbox>
          </v:shape>
        </w:pict>
      </w:r>
      <w:r w:rsidR="00DC08F5">
        <w:rPr>
          <w:b/>
          <w:color w:val="auto"/>
          <w:sz w:val="20"/>
          <w:szCs w:val="20"/>
        </w:rPr>
        <w:t>Trek-A-Sat Dat</w:t>
      </w:r>
      <w:r w:rsidR="0002019B">
        <w:rPr>
          <w:b/>
          <w:color w:val="auto"/>
          <w:sz w:val="20"/>
          <w:szCs w:val="20"/>
        </w:rPr>
        <w:t>a Sheet Weststar-4</w:t>
      </w:r>
      <w:r w:rsidR="005827AF" w:rsidRPr="00FE5197">
        <w:rPr>
          <w:b/>
          <w:color w:val="auto"/>
          <w:sz w:val="20"/>
          <w:szCs w:val="20"/>
        </w:rPr>
        <w:t>:</w:t>
      </w:r>
      <w:r w:rsidR="005827AF" w:rsidRPr="00FE5197">
        <w:rPr>
          <w:noProof/>
          <w:color w:val="auto"/>
        </w:rPr>
        <w:drawing>
          <wp:anchor distT="114300" distB="114300" distL="114300" distR="114300" simplePos="0" relativeHeight="251658240" behindDoc="0" locked="0" layoutInCell="0" allowOverlap="1">
            <wp:simplePos x="0" y="0"/>
            <wp:positionH relativeFrom="margin">
              <wp:posOffset>-95249</wp:posOffset>
            </wp:positionH>
            <wp:positionV relativeFrom="paragraph">
              <wp:posOffset>57150</wp:posOffset>
            </wp:positionV>
            <wp:extent cx="1147763" cy="1147763"/>
            <wp:effectExtent l="0" t="0" r="0" b="0"/>
            <wp:wrapSquare wrapText="bothSides" distT="114300" distB="114300" distL="114300" distR="114300"/>
            <wp:docPr id="2" name="image03.png" descr="EIS  logo squa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EIS  logo square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763" cy="1147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6CCA" w:rsidRPr="00FE5197" w:rsidRDefault="00B86CCA">
      <w:pPr>
        <w:pStyle w:val="normal0"/>
        <w:spacing w:line="240" w:lineRule="auto"/>
        <w:rPr>
          <w:color w:val="auto"/>
        </w:rPr>
      </w:pPr>
    </w:p>
    <w:p w:rsidR="00B86CCA" w:rsidRPr="00FE5197" w:rsidRDefault="00B86CCA">
      <w:pPr>
        <w:pStyle w:val="normal0"/>
        <w:spacing w:line="240" w:lineRule="auto"/>
        <w:rPr>
          <w:color w:val="auto"/>
        </w:rPr>
      </w:pPr>
    </w:p>
    <w:p w:rsidR="00B86CCA" w:rsidRDefault="00FE368D">
      <w:pPr>
        <w:pStyle w:val="normal0"/>
        <w:spacing w:line="240" w:lineRule="auto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Trek-A-</w:t>
      </w:r>
      <w:r w:rsidR="005827AF" w:rsidRPr="00FE5197">
        <w:rPr>
          <w:b/>
          <w:color w:val="auto"/>
          <w:sz w:val="36"/>
          <w:szCs w:val="36"/>
        </w:rPr>
        <w:t>S</w:t>
      </w:r>
      <w:r>
        <w:rPr>
          <w:b/>
          <w:color w:val="auto"/>
          <w:sz w:val="36"/>
          <w:szCs w:val="36"/>
        </w:rPr>
        <w:t>a</w:t>
      </w:r>
      <w:r w:rsidR="005827AF" w:rsidRPr="00FE5197">
        <w:rPr>
          <w:b/>
          <w:color w:val="auto"/>
          <w:sz w:val="36"/>
          <w:szCs w:val="36"/>
        </w:rPr>
        <w:t>t</w:t>
      </w:r>
      <w:r>
        <w:rPr>
          <w:b/>
          <w:color w:val="auto"/>
          <w:sz w:val="36"/>
          <w:szCs w:val="36"/>
        </w:rPr>
        <w:t xml:space="preserve"> Data Sheet</w:t>
      </w:r>
    </w:p>
    <w:p w:rsidR="00FE368D" w:rsidRPr="00FE5197" w:rsidRDefault="00FE368D">
      <w:pPr>
        <w:pStyle w:val="normal0"/>
        <w:spacing w:line="240" w:lineRule="auto"/>
        <w:jc w:val="center"/>
        <w:rPr>
          <w:color w:val="auto"/>
        </w:rPr>
      </w:pPr>
    </w:p>
    <w:p w:rsidR="00B86CCA" w:rsidRDefault="006F6397">
      <w:pPr>
        <w:pStyle w:val="normal0"/>
        <w:spacing w:line="240" w:lineRule="auto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Geostationary Satellite Weststar-4</w:t>
      </w:r>
    </w:p>
    <w:p w:rsidR="00FE368D" w:rsidRDefault="00FE368D">
      <w:pPr>
        <w:pStyle w:val="normal0"/>
        <w:spacing w:line="240" w:lineRule="auto"/>
        <w:jc w:val="center"/>
        <w:rPr>
          <w:b/>
          <w:color w:val="auto"/>
          <w:sz w:val="36"/>
          <w:szCs w:val="36"/>
        </w:rPr>
      </w:pPr>
    </w:p>
    <w:p w:rsidR="00FE368D" w:rsidRPr="00FE5197" w:rsidRDefault="00FE368D">
      <w:pPr>
        <w:pStyle w:val="normal0"/>
        <w:spacing w:line="240" w:lineRule="auto"/>
        <w:jc w:val="center"/>
        <w:rPr>
          <w:color w:val="auto"/>
        </w:rPr>
      </w:pPr>
    </w:p>
    <w:p w:rsidR="00B86CCA" w:rsidRDefault="005827AF">
      <w:pPr>
        <w:pStyle w:val="normal0"/>
        <w:spacing w:line="240" w:lineRule="auto"/>
        <w:rPr>
          <w:color w:val="auto"/>
          <w:sz w:val="20"/>
          <w:szCs w:val="20"/>
        </w:rPr>
      </w:pPr>
      <w:r w:rsidRPr="00FE5197">
        <w:rPr>
          <w:color w:val="auto"/>
          <w:sz w:val="20"/>
          <w:szCs w:val="20"/>
        </w:rPr>
        <w:t xml:space="preserve">The following are </w:t>
      </w:r>
      <w:r w:rsidR="00FE368D">
        <w:rPr>
          <w:color w:val="auto"/>
          <w:sz w:val="20"/>
          <w:szCs w:val="20"/>
        </w:rPr>
        <w:t xml:space="preserve">latitude and longitude data for the </w:t>
      </w:r>
      <w:r w:rsidR="006F6397">
        <w:rPr>
          <w:color w:val="auto"/>
          <w:sz w:val="20"/>
          <w:szCs w:val="20"/>
        </w:rPr>
        <w:t>Geostationary</w:t>
      </w:r>
      <w:r w:rsidR="00DC08F5">
        <w:rPr>
          <w:color w:val="auto"/>
          <w:sz w:val="20"/>
          <w:szCs w:val="20"/>
        </w:rPr>
        <w:t xml:space="preserve"> Satellite </w:t>
      </w:r>
      <w:r w:rsidR="006F6397">
        <w:rPr>
          <w:color w:val="auto"/>
          <w:sz w:val="20"/>
          <w:szCs w:val="20"/>
        </w:rPr>
        <w:t>Weststar-4</w:t>
      </w:r>
      <w:r w:rsidR="00FE368D">
        <w:rPr>
          <w:color w:val="auto"/>
          <w:sz w:val="20"/>
          <w:szCs w:val="20"/>
        </w:rPr>
        <w:t xml:space="preserve"> </w:t>
      </w:r>
      <w:r w:rsidR="00C62C63">
        <w:rPr>
          <w:color w:val="auto"/>
          <w:sz w:val="20"/>
          <w:szCs w:val="20"/>
        </w:rPr>
        <w:t xml:space="preserve">taken at approximately ten 10 – </w:t>
      </w:r>
      <w:proofErr w:type="gramStart"/>
      <w:r w:rsidR="00C62C63">
        <w:rPr>
          <w:color w:val="auto"/>
          <w:sz w:val="20"/>
          <w:szCs w:val="20"/>
        </w:rPr>
        <w:t xml:space="preserve">13  </w:t>
      </w:r>
      <w:r w:rsidR="00FE368D">
        <w:rPr>
          <w:color w:val="auto"/>
          <w:sz w:val="20"/>
          <w:szCs w:val="20"/>
        </w:rPr>
        <w:t>minut</w:t>
      </w:r>
      <w:r w:rsidR="00C62C63">
        <w:rPr>
          <w:color w:val="auto"/>
          <w:sz w:val="20"/>
          <w:szCs w:val="20"/>
        </w:rPr>
        <w:t>e</w:t>
      </w:r>
      <w:proofErr w:type="gramEnd"/>
      <w:r w:rsidR="00C62C63">
        <w:rPr>
          <w:color w:val="auto"/>
          <w:sz w:val="20"/>
          <w:szCs w:val="20"/>
        </w:rPr>
        <w:t xml:space="preserve"> intervals over a period of approximately four (4</w:t>
      </w:r>
      <w:r w:rsidR="00FE368D">
        <w:rPr>
          <w:color w:val="auto"/>
          <w:sz w:val="20"/>
          <w:szCs w:val="20"/>
        </w:rPr>
        <w:t xml:space="preserve">) hours.  </w:t>
      </w:r>
      <w:r w:rsidR="007F4DE2">
        <w:rPr>
          <w:color w:val="auto"/>
          <w:sz w:val="20"/>
          <w:szCs w:val="20"/>
        </w:rPr>
        <w:t>This data can be used to plot the ground track of the satellite on the World Map.</w:t>
      </w:r>
    </w:p>
    <w:p w:rsidR="00FE368D" w:rsidRDefault="00FE368D">
      <w:pPr>
        <w:pStyle w:val="normal0"/>
        <w:spacing w:line="240" w:lineRule="auto"/>
        <w:rPr>
          <w:color w:val="auto"/>
          <w:sz w:val="20"/>
          <w:szCs w:val="20"/>
        </w:rPr>
      </w:pPr>
    </w:p>
    <w:p w:rsidR="00FE368D" w:rsidRPr="00FE5197" w:rsidRDefault="00FE368D">
      <w:pPr>
        <w:pStyle w:val="normal0"/>
        <w:spacing w:line="240" w:lineRule="auto"/>
        <w:rPr>
          <w:color w:val="auto"/>
        </w:rPr>
      </w:pPr>
    </w:p>
    <w:p w:rsidR="00D5552E" w:rsidRDefault="00FE368D">
      <w:pPr>
        <w:pStyle w:val="normal0"/>
        <w:spacing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Orbital Period:</w:t>
      </w:r>
      <w:r>
        <w:rPr>
          <w:b/>
          <w:color w:val="auto"/>
          <w:sz w:val="24"/>
          <w:szCs w:val="24"/>
        </w:rPr>
        <w:tab/>
      </w:r>
      <w:r w:rsidR="00CF2999">
        <w:rPr>
          <w:b/>
          <w:color w:val="auto"/>
          <w:sz w:val="24"/>
          <w:szCs w:val="24"/>
        </w:rPr>
        <w:t>1444 min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</w:p>
    <w:p w:rsidR="00D5552E" w:rsidRDefault="00D5552E">
      <w:pPr>
        <w:pStyle w:val="normal0"/>
        <w:spacing w:line="240" w:lineRule="auto"/>
        <w:rPr>
          <w:b/>
          <w:color w:val="auto"/>
          <w:sz w:val="24"/>
          <w:szCs w:val="24"/>
        </w:rPr>
      </w:pPr>
    </w:p>
    <w:p w:rsidR="00B86CCA" w:rsidRPr="00FE5197" w:rsidRDefault="00FE368D">
      <w:pPr>
        <w:pStyle w:val="normal0"/>
        <w:spacing w:line="240" w:lineRule="auto"/>
        <w:rPr>
          <w:color w:val="auto"/>
        </w:rPr>
      </w:pPr>
      <w:r>
        <w:rPr>
          <w:b/>
          <w:color w:val="auto"/>
          <w:sz w:val="24"/>
          <w:szCs w:val="24"/>
        </w:rPr>
        <w:t>Average Altitude:</w:t>
      </w:r>
      <w:r w:rsidR="00CF2999">
        <w:rPr>
          <w:b/>
          <w:color w:val="auto"/>
          <w:sz w:val="24"/>
          <w:szCs w:val="24"/>
        </w:rPr>
        <w:tab/>
        <w:t>35920 km (20320 mi)</w:t>
      </w:r>
    </w:p>
    <w:p w:rsidR="00B86CCA" w:rsidRPr="00FE5197" w:rsidRDefault="00B86CCA">
      <w:pPr>
        <w:pStyle w:val="normal0"/>
        <w:spacing w:line="240" w:lineRule="auto"/>
        <w:rPr>
          <w:color w:val="auto"/>
        </w:rPr>
      </w:pPr>
    </w:p>
    <w:tbl>
      <w:tblPr>
        <w:tblStyle w:val="TableGrid"/>
        <w:tblW w:w="0" w:type="auto"/>
        <w:tblLook w:val="04A0"/>
      </w:tblPr>
      <w:tblGrid>
        <w:gridCol w:w="1728"/>
        <w:gridCol w:w="1710"/>
      </w:tblGrid>
      <w:tr w:rsidR="00D5552E" w:rsidTr="00D5552E">
        <w:tc>
          <w:tcPr>
            <w:tcW w:w="1728" w:type="dxa"/>
          </w:tcPr>
          <w:p w:rsidR="00D5552E" w:rsidRDefault="00D5552E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Latitude</w:t>
            </w:r>
          </w:p>
        </w:tc>
        <w:tc>
          <w:tcPr>
            <w:tcW w:w="1710" w:type="dxa"/>
          </w:tcPr>
          <w:p w:rsidR="00D5552E" w:rsidRDefault="00D5552E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Longitude</w:t>
            </w:r>
          </w:p>
        </w:tc>
      </w:tr>
      <w:tr w:rsidR="00D5552E" w:rsidTr="00D5552E">
        <w:tc>
          <w:tcPr>
            <w:tcW w:w="1728" w:type="dxa"/>
          </w:tcPr>
          <w:p w:rsidR="00D5552E" w:rsidRDefault="00D5552E">
            <w:pPr>
              <w:pStyle w:val="normal0"/>
              <w:rPr>
                <w:color w:val="auto"/>
              </w:rPr>
            </w:pPr>
          </w:p>
        </w:tc>
        <w:tc>
          <w:tcPr>
            <w:tcW w:w="1710" w:type="dxa"/>
          </w:tcPr>
          <w:p w:rsidR="00D5552E" w:rsidRDefault="00D5552E">
            <w:pPr>
              <w:pStyle w:val="normal0"/>
              <w:rPr>
                <w:color w:val="auto"/>
              </w:rPr>
            </w:pPr>
          </w:p>
        </w:tc>
      </w:tr>
      <w:tr w:rsidR="00D5552E" w:rsidTr="00D5552E">
        <w:tc>
          <w:tcPr>
            <w:tcW w:w="1728" w:type="dxa"/>
          </w:tcPr>
          <w:p w:rsidR="00D5552E" w:rsidRDefault="00582311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-15.02</w:t>
            </w:r>
          </w:p>
        </w:tc>
        <w:tc>
          <w:tcPr>
            <w:tcW w:w="1710" w:type="dxa"/>
          </w:tcPr>
          <w:p w:rsidR="00D5552E" w:rsidRDefault="00582311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-163.19</w:t>
            </w:r>
          </w:p>
        </w:tc>
      </w:tr>
      <w:tr w:rsidR="00D5552E" w:rsidTr="00D5552E">
        <w:tc>
          <w:tcPr>
            <w:tcW w:w="1728" w:type="dxa"/>
          </w:tcPr>
          <w:p w:rsidR="00D5552E" w:rsidRDefault="00AC1C79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-14.89</w:t>
            </w:r>
          </w:p>
        </w:tc>
        <w:tc>
          <w:tcPr>
            <w:tcW w:w="1710" w:type="dxa"/>
          </w:tcPr>
          <w:p w:rsidR="00D5552E" w:rsidRDefault="00AC1C79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-163.12</w:t>
            </w:r>
          </w:p>
        </w:tc>
      </w:tr>
      <w:tr w:rsidR="00D5552E" w:rsidTr="00D5552E">
        <w:tc>
          <w:tcPr>
            <w:tcW w:w="1728" w:type="dxa"/>
          </w:tcPr>
          <w:p w:rsidR="00D5552E" w:rsidRDefault="00AC1C79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-14.73</w:t>
            </w:r>
          </w:p>
        </w:tc>
        <w:tc>
          <w:tcPr>
            <w:tcW w:w="1710" w:type="dxa"/>
          </w:tcPr>
          <w:p w:rsidR="00D5552E" w:rsidRDefault="00AC1C79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-163.05</w:t>
            </w:r>
          </w:p>
        </w:tc>
      </w:tr>
      <w:tr w:rsidR="00D5552E" w:rsidTr="00D5552E">
        <w:tc>
          <w:tcPr>
            <w:tcW w:w="1728" w:type="dxa"/>
          </w:tcPr>
          <w:p w:rsidR="00D5552E" w:rsidRDefault="00AC1C79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-14.51</w:t>
            </w:r>
          </w:p>
        </w:tc>
        <w:tc>
          <w:tcPr>
            <w:tcW w:w="1710" w:type="dxa"/>
          </w:tcPr>
          <w:p w:rsidR="00D5552E" w:rsidRDefault="00AC1C79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-162.98</w:t>
            </w:r>
          </w:p>
        </w:tc>
      </w:tr>
      <w:tr w:rsidR="00D5552E" w:rsidTr="00D5552E">
        <w:tc>
          <w:tcPr>
            <w:tcW w:w="1728" w:type="dxa"/>
          </w:tcPr>
          <w:p w:rsidR="00D5552E" w:rsidRDefault="00AC1C79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-14.27</w:t>
            </w:r>
          </w:p>
        </w:tc>
        <w:tc>
          <w:tcPr>
            <w:tcW w:w="1710" w:type="dxa"/>
          </w:tcPr>
          <w:p w:rsidR="00D5552E" w:rsidRDefault="00AC1C79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-162.91</w:t>
            </w:r>
          </w:p>
        </w:tc>
      </w:tr>
      <w:tr w:rsidR="00D5552E" w:rsidTr="00D5552E">
        <w:tc>
          <w:tcPr>
            <w:tcW w:w="1728" w:type="dxa"/>
          </w:tcPr>
          <w:p w:rsidR="00D5552E" w:rsidRDefault="00AC1C79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-14.08</w:t>
            </w:r>
          </w:p>
        </w:tc>
        <w:tc>
          <w:tcPr>
            <w:tcW w:w="1710" w:type="dxa"/>
          </w:tcPr>
          <w:p w:rsidR="00D5552E" w:rsidRDefault="00AC1C79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-162.87</w:t>
            </w:r>
          </w:p>
        </w:tc>
      </w:tr>
      <w:tr w:rsidR="00D5552E" w:rsidTr="00D5552E">
        <w:tc>
          <w:tcPr>
            <w:tcW w:w="1728" w:type="dxa"/>
          </w:tcPr>
          <w:p w:rsidR="00D5552E" w:rsidRDefault="00AC1C79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-13.81</w:t>
            </w:r>
          </w:p>
        </w:tc>
        <w:tc>
          <w:tcPr>
            <w:tcW w:w="1710" w:type="dxa"/>
          </w:tcPr>
          <w:p w:rsidR="00D5552E" w:rsidRDefault="00AC1C79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-162.82</w:t>
            </w:r>
          </w:p>
        </w:tc>
      </w:tr>
      <w:tr w:rsidR="00BF15AA" w:rsidTr="00D5552E">
        <w:tc>
          <w:tcPr>
            <w:tcW w:w="1728" w:type="dxa"/>
          </w:tcPr>
          <w:p w:rsidR="00BF15AA" w:rsidRDefault="00AC1C79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-13.50</w:t>
            </w:r>
          </w:p>
        </w:tc>
        <w:tc>
          <w:tcPr>
            <w:tcW w:w="1710" w:type="dxa"/>
          </w:tcPr>
          <w:p w:rsidR="00BF15AA" w:rsidRDefault="00AC1C79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-162.78</w:t>
            </w:r>
          </w:p>
        </w:tc>
      </w:tr>
      <w:tr w:rsidR="00BF15AA" w:rsidTr="00D5552E">
        <w:tc>
          <w:tcPr>
            <w:tcW w:w="1728" w:type="dxa"/>
          </w:tcPr>
          <w:p w:rsidR="00BF15AA" w:rsidRDefault="00AC1C79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-13.35</w:t>
            </w:r>
          </w:p>
        </w:tc>
        <w:tc>
          <w:tcPr>
            <w:tcW w:w="1710" w:type="dxa"/>
          </w:tcPr>
          <w:p w:rsidR="00BF15AA" w:rsidRDefault="00AC1C79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-152.76</w:t>
            </w:r>
          </w:p>
        </w:tc>
      </w:tr>
      <w:tr w:rsidR="00BF15AA" w:rsidTr="00D5552E">
        <w:tc>
          <w:tcPr>
            <w:tcW w:w="1728" w:type="dxa"/>
          </w:tcPr>
          <w:p w:rsidR="00BF15AA" w:rsidRDefault="00AC1C79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-12.95</w:t>
            </w:r>
          </w:p>
        </w:tc>
        <w:tc>
          <w:tcPr>
            <w:tcW w:w="1710" w:type="dxa"/>
          </w:tcPr>
          <w:p w:rsidR="00BF15AA" w:rsidRDefault="00AC1C79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-162.72</w:t>
            </w:r>
          </w:p>
        </w:tc>
      </w:tr>
      <w:tr w:rsidR="00BF15AA" w:rsidTr="00D5552E">
        <w:tc>
          <w:tcPr>
            <w:tcW w:w="1728" w:type="dxa"/>
          </w:tcPr>
          <w:p w:rsidR="00BF15AA" w:rsidRDefault="00AC1C79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-12.76</w:t>
            </w:r>
          </w:p>
        </w:tc>
        <w:tc>
          <w:tcPr>
            <w:tcW w:w="1710" w:type="dxa"/>
          </w:tcPr>
          <w:p w:rsidR="00BF15AA" w:rsidRDefault="00AC1C79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-162.71</w:t>
            </w:r>
          </w:p>
        </w:tc>
      </w:tr>
      <w:tr w:rsidR="00D5552E" w:rsidTr="00D5552E">
        <w:tc>
          <w:tcPr>
            <w:tcW w:w="1728" w:type="dxa"/>
          </w:tcPr>
          <w:p w:rsidR="00D5552E" w:rsidRDefault="00AC1C79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-12.18</w:t>
            </w:r>
          </w:p>
        </w:tc>
        <w:tc>
          <w:tcPr>
            <w:tcW w:w="1710" w:type="dxa"/>
          </w:tcPr>
          <w:p w:rsidR="00D5552E" w:rsidRDefault="00AC1C79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-162.68</w:t>
            </w:r>
          </w:p>
        </w:tc>
      </w:tr>
      <w:tr w:rsidR="00D5552E" w:rsidTr="00D5552E">
        <w:tc>
          <w:tcPr>
            <w:tcW w:w="1728" w:type="dxa"/>
          </w:tcPr>
          <w:p w:rsidR="00D5552E" w:rsidRDefault="000409F5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-11.85</w:t>
            </w:r>
          </w:p>
        </w:tc>
        <w:tc>
          <w:tcPr>
            <w:tcW w:w="1710" w:type="dxa"/>
          </w:tcPr>
          <w:p w:rsidR="00D5552E" w:rsidRDefault="000409F5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-162.67</w:t>
            </w:r>
          </w:p>
        </w:tc>
      </w:tr>
      <w:tr w:rsidR="00D5552E" w:rsidTr="00D5552E">
        <w:tc>
          <w:tcPr>
            <w:tcW w:w="1728" w:type="dxa"/>
          </w:tcPr>
          <w:p w:rsidR="00D5552E" w:rsidRDefault="000409F5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-11.42</w:t>
            </w:r>
          </w:p>
        </w:tc>
        <w:tc>
          <w:tcPr>
            <w:tcW w:w="1710" w:type="dxa"/>
          </w:tcPr>
          <w:p w:rsidR="00D5552E" w:rsidRDefault="000409F5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-162.67</w:t>
            </w:r>
          </w:p>
        </w:tc>
      </w:tr>
      <w:tr w:rsidR="00D5552E" w:rsidTr="00D5552E">
        <w:tc>
          <w:tcPr>
            <w:tcW w:w="1728" w:type="dxa"/>
          </w:tcPr>
          <w:p w:rsidR="00D5552E" w:rsidRDefault="000409F5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-10.83</w:t>
            </w:r>
          </w:p>
        </w:tc>
        <w:tc>
          <w:tcPr>
            <w:tcW w:w="1710" w:type="dxa"/>
          </w:tcPr>
          <w:p w:rsidR="00D5552E" w:rsidRDefault="000409F5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-162.67</w:t>
            </w:r>
          </w:p>
        </w:tc>
      </w:tr>
      <w:tr w:rsidR="00AD6E73" w:rsidTr="00D5552E">
        <w:tc>
          <w:tcPr>
            <w:tcW w:w="1728" w:type="dxa"/>
          </w:tcPr>
          <w:p w:rsidR="00AD6E73" w:rsidRDefault="000409F5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-10.40</w:t>
            </w:r>
          </w:p>
        </w:tc>
        <w:tc>
          <w:tcPr>
            <w:tcW w:w="1710" w:type="dxa"/>
          </w:tcPr>
          <w:p w:rsidR="00AD6E73" w:rsidRDefault="000409F5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-162.69</w:t>
            </w:r>
          </w:p>
        </w:tc>
      </w:tr>
      <w:tr w:rsidR="00AD6E73" w:rsidTr="00D5552E">
        <w:tc>
          <w:tcPr>
            <w:tcW w:w="1728" w:type="dxa"/>
          </w:tcPr>
          <w:p w:rsidR="00AD6E73" w:rsidRDefault="000409F5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-10.01</w:t>
            </w:r>
          </w:p>
        </w:tc>
        <w:tc>
          <w:tcPr>
            <w:tcW w:w="1710" w:type="dxa"/>
          </w:tcPr>
          <w:p w:rsidR="00AD6E73" w:rsidRDefault="000409F5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-162.70</w:t>
            </w:r>
          </w:p>
        </w:tc>
      </w:tr>
      <w:tr w:rsidR="00AD6E73" w:rsidTr="00D5552E">
        <w:tc>
          <w:tcPr>
            <w:tcW w:w="1728" w:type="dxa"/>
          </w:tcPr>
          <w:p w:rsidR="00AD6E73" w:rsidRDefault="000409F5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-9.45</w:t>
            </w:r>
          </w:p>
        </w:tc>
        <w:tc>
          <w:tcPr>
            <w:tcW w:w="1710" w:type="dxa"/>
          </w:tcPr>
          <w:p w:rsidR="00AD6E73" w:rsidRDefault="000409F5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-162.73</w:t>
            </w:r>
          </w:p>
        </w:tc>
      </w:tr>
      <w:tr w:rsidR="00AD6E73" w:rsidTr="00D5552E">
        <w:tc>
          <w:tcPr>
            <w:tcW w:w="1728" w:type="dxa"/>
          </w:tcPr>
          <w:p w:rsidR="00AD6E73" w:rsidRDefault="000409F5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-8.26</w:t>
            </w:r>
          </w:p>
        </w:tc>
        <w:tc>
          <w:tcPr>
            <w:tcW w:w="1710" w:type="dxa"/>
          </w:tcPr>
          <w:p w:rsidR="00AD6E73" w:rsidRDefault="000409F5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-162.77</w:t>
            </w:r>
          </w:p>
        </w:tc>
      </w:tr>
      <w:tr w:rsidR="00AD6E73" w:rsidTr="00D5552E">
        <w:tc>
          <w:tcPr>
            <w:tcW w:w="1728" w:type="dxa"/>
          </w:tcPr>
          <w:p w:rsidR="00AD6E73" w:rsidRDefault="000409F5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-8.42</w:t>
            </w:r>
          </w:p>
        </w:tc>
        <w:tc>
          <w:tcPr>
            <w:tcW w:w="1710" w:type="dxa"/>
          </w:tcPr>
          <w:p w:rsidR="00AD6E73" w:rsidRDefault="000409F5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-162.81</w:t>
            </w:r>
          </w:p>
        </w:tc>
      </w:tr>
      <w:tr w:rsidR="00AD6E73" w:rsidTr="00D5552E">
        <w:tc>
          <w:tcPr>
            <w:tcW w:w="1728" w:type="dxa"/>
          </w:tcPr>
          <w:p w:rsidR="00AD6E73" w:rsidRDefault="000409F5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-7.87</w:t>
            </w:r>
          </w:p>
        </w:tc>
        <w:tc>
          <w:tcPr>
            <w:tcW w:w="1710" w:type="dxa"/>
          </w:tcPr>
          <w:p w:rsidR="00AD6E73" w:rsidRDefault="000409F5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-162.86</w:t>
            </w:r>
          </w:p>
        </w:tc>
      </w:tr>
      <w:tr w:rsidR="00AD6E73" w:rsidTr="00D5552E">
        <w:tc>
          <w:tcPr>
            <w:tcW w:w="1728" w:type="dxa"/>
          </w:tcPr>
          <w:p w:rsidR="00AD6E73" w:rsidRDefault="000409F5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-7.29</w:t>
            </w:r>
          </w:p>
        </w:tc>
        <w:tc>
          <w:tcPr>
            <w:tcW w:w="1710" w:type="dxa"/>
          </w:tcPr>
          <w:p w:rsidR="00AD6E73" w:rsidRDefault="000409F5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-162.92</w:t>
            </w:r>
          </w:p>
        </w:tc>
      </w:tr>
      <w:tr w:rsidR="00AD6E73" w:rsidTr="00D5552E">
        <w:tc>
          <w:tcPr>
            <w:tcW w:w="1728" w:type="dxa"/>
          </w:tcPr>
          <w:p w:rsidR="00AD6E73" w:rsidRDefault="00AD6E73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-6.67</w:t>
            </w:r>
          </w:p>
        </w:tc>
        <w:tc>
          <w:tcPr>
            <w:tcW w:w="1710" w:type="dxa"/>
          </w:tcPr>
          <w:p w:rsidR="00AD6E73" w:rsidRDefault="00AD6E73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-162.99</w:t>
            </w:r>
          </w:p>
        </w:tc>
      </w:tr>
      <w:tr w:rsidR="00AD6E73" w:rsidTr="00D5552E">
        <w:tc>
          <w:tcPr>
            <w:tcW w:w="1728" w:type="dxa"/>
          </w:tcPr>
          <w:p w:rsidR="00AD6E73" w:rsidRDefault="00AD6E73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-6.12</w:t>
            </w:r>
          </w:p>
        </w:tc>
        <w:tc>
          <w:tcPr>
            <w:tcW w:w="1710" w:type="dxa"/>
          </w:tcPr>
          <w:p w:rsidR="00AD6E73" w:rsidRDefault="00AD6E73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-163.05</w:t>
            </w:r>
          </w:p>
        </w:tc>
      </w:tr>
    </w:tbl>
    <w:p w:rsidR="00B86CCA" w:rsidRPr="00FE5197" w:rsidRDefault="00B86CCA">
      <w:pPr>
        <w:pStyle w:val="normal0"/>
        <w:spacing w:line="240" w:lineRule="auto"/>
        <w:rPr>
          <w:color w:val="auto"/>
        </w:rPr>
      </w:pPr>
    </w:p>
    <w:sectPr w:rsidR="00B86CCA" w:rsidRPr="00FE5197" w:rsidSect="00B86CC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CD4" w:rsidRDefault="00A05CD4" w:rsidP="00B86CCA">
      <w:pPr>
        <w:spacing w:line="240" w:lineRule="auto"/>
      </w:pPr>
      <w:r>
        <w:separator/>
      </w:r>
    </w:p>
  </w:endnote>
  <w:endnote w:type="continuationSeparator" w:id="0">
    <w:p w:rsidR="00A05CD4" w:rsidRDefault="00A05CD4" w:rsidP="00B86C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A" w:rsidRDefault="005827AF">
    <w:pPr>
      <w:pStyle w:val="normal0"/>
    </w:pPr>
    <w:r>
      <w:tab/>
    </w:r>
    <w:r>
      <w:tab/>
    </w:r>
    <w:r>
      <w:tab/>
    </w:r>
    <w:r>
      <w:tab/>
      <w:t xml:space="preserve">                www.enterpriseinspace.org</w:t>
    </w:r>
    <w:r>
      <w:rPr>
        <w:noProof/>
      </w:rPr>
      <w:drawing>
        <wp:anchor distT="114300" distB="114300" distL="114300" distR="114300" simplePos="0" relativeHeight="251658240" behindDoc="0" locked="0" layoutInCell="0" allowOverlap="1">
          <wp:simplePos x="0" y="0"/>
          <wp:positionH relativeFrom="margin">
            <wp:posOffset>-95249</wp:posOffset>
          </wp:positionH>
          <wp:positionV relativeFrom="paragraph">
            <wp:posOffset>-66674</wp:posOffset>
          </wp:positionV>
          <wp:extent cx="1519238" cy="374460"/>
          <wp:effectExtent l="0" t="0" r="0" b="0"/>
          <wp:wrapSquare wrapText="bothSides" distT="114300" distB="114300" distL="114300" distR="114300"/>
          <wp:docPr id="1" name="image02.png" descr="EIS logo rectang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 descr="EIS logo rectangl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9238" cy="374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CD4" w:rsidRDefault="00A05CD4" w:rsidP="00B86CCA">
      <w:pPr>
        <w:spacing w:line="240" w:lineRule="auto"/>
      </w:pPr>
      <w:r>
        <w:separator/>
      </w:r>
    </w:p>
  </w:footnote>
  <w:footnote w:type="continuationSeparator" w:id="0">
    <w:p w:rsidR="00A05CD4" w:rsidRDefault="00A05CD4" w:rsidP="00B86C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F6B70"/>
    <w:multiLevelType w:val="multilevel"/>
    <w:tmpl w:val="9FEA67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74BA465E"/>
    <w:multiLevelType w:val="multilevel"/>
    <w:tmpl w:val="6DD2AA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CCA"/>
    <w:rsid w:val="0002019B"/>
    <w:rsid w:val="000409F5"/>
    <w:rsid w:val="00095758"/>
    <w:rsid w:val="00146816"/>
    <w:rsid w:val="00176E3E"/>
    <w:rsid w:val="00186A9B"/>
    <w:rsid w:val="00551452"/>
    <w:rsid w:val="00582311"/>
    <w:rsid w:val="005827AF"/>
    <w:rsid w:val="005C2C0C"/>
    <w:rsid w:val="005C77E4"/>
    <w:rsid w:val="006F6397"/>
    <w:rsid w:val="0070191E"/>
    <w:rsid w:val="007445E1"/>
    <w:rsid w:val="0074728B"/>
    <w:rsid w:val="00773C26"/>
    <w:rsid w:val="007F4DE2"/>
    <w:rsid w:val="009A3714"/>
    <w:rsid w:val="00A05CD4"/>
    <w:rsid w:val="00AB37C6"/>
    <w:rsid w:val="00AC1C79"/>
    <w:rsid w:val="00AD6E73"/>
    <w:rsid w:val="00B847DE"/>
    <w:rsid w:val="00B86CCA"/>
    <w:rsid w:val="00BF15AA"/>
    <w:rsid w:val="00C62C63"/>
    <w:rsid w:val="00CF2999"/>
    <w:rsid w:val="00D26AD7"/>
    <w:rsid w:val="00D5552E"/>
    <w:rsid w:val="00D578A1"/>
    <w:rsid w:val="00DC08F5"/>
    <w:rsid w:val="00FE368D"/>
    <w:rsid w:val="00FE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D7"/>
  </w:style>
  <w:style w:type="paragraph" w:styleId="Heading1">
    <w:name w:val="heading 1"/>
    <w:basedOn w:val="normal0"/>
    <w:next w:val="normal0"/>
    <w:rsid w:val="00B86CC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86CC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86CC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86CC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86CC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86CC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86CCA"/>
  </w:style>
  <w:style w:type="paragraph" w:styleId="Title">
    <w:name w:val="Title"/>
    <w:basedOn w:val="normal0"/>
    <w:next w:val="normal0"/>
    <w:rsid w:val="00B86CCA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B86CC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D5552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Lynne</cp:lastModifiedBy>
  <cp:revision>2</cp:revision>
  <dcterms:created xsi:type="dcterms:W3CDTF">2017-02-03T04:47:00Z</dcterms:created>
  <dcterms:modified xsi:type="dcterms:W3CDTF">2017-02-03T04:47:00Z</dcterms:modified>
</cp:coreProperties>
</file>